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33A57" w14:textId="77777777" w:rsidR="006D61BA" w:rsidRPr="006528EA" w:rsidRDefault="006D61BA" w:rsidP="006528EA">
      <w:pPr>
        <w:pStyle w:val="Sinespaciado"/>
        <w:jc w:val="both"/>
        <w:rPr>
          <w:rFonts w:ascii="Verdana" w:hAnsi="Verdana"/>
          <w:sz w:val="20"/>
          <w:szCs w:val="20"/>
          <w:specVanish/>
        </w:rPr>
      </w:pPr>
    </w:p>
    <w:p w14:paraId="7951FE0F" w14:textId="77777777" w:rsidR="006C6E82" w:rsidRPr="006528EA" w:rsidRDefault="006C6E82" w:rsidP="006528EA">
      <w:pPr>
        <w:pStyle w:val="Sinespaciado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es-PE"/>
        </w:rPr>
      </w:pPr>
      <w:r w:rsidRPr="006528EA">
        <w:rPr>
          <w:rFonts w:ascii="Verdana" w:eastAsia="Times New Roman" w:hAnsi="Verdana" w:cs="Times New Roman"/>
          <w:sz w:val="20"/>
          <w:szCs w:val="20"/>
          <w:lang w:eastAsia="es-PE"/>
        </w:rPr>
        <w:t xml:space="preserve"> </w:t>
      </w:r>
    </w:p>
    <w:p w14:paraId="02E19B99" w14:textId="42973099" w:rsidR="00FC27C0" w:rsidRPr="006528EA" w:rsidRDefault="006528EA" w:rsidP="006528EA">
      <w:pPr>
        <w:pStyle w:val="Sinespaciado"/>
        <w:jc w:val="center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  <w:t>TURQUÍA ESENCIAL - UPGRADE GRATIS PARA HOTEL CUEVA</w:t>
      </w:r>
    </w:p>
    <w:p w14:paraId="494B0A52" w14:textId="57D39526" w:rsidR="006528EA" w:rsidRPr="00557995" w:rsidRDefault="006528EA" w:rsidP="006528EA">
      <w:pPr>
        <w:pStyle w:val="Sinespaciado"/>
        <w:jc w:val="right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  <w:r w:rsidRPr="0055799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  <w:t>D</w:t>
      </w:r>
      <w:r w:rsidRPr="00557995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  <w:t>esde</w:t>
      </w:r>
    </w:p>
    <w:p w14:paraId="78624D35" w14:textId="5ED7C0AE" w:rsidR="006528EA" w:rsidRPr="00557995" w:rsidRDefault="006528EA" w:rsidP="006528EA">
      <w:pPr>
        <w:pStyle w:val="Sinespaciado"/>
        <w:jc w:val="right"/>
        <w:rPr>
          <w:rStyle w:val="hotelchain"/>
          <w:rFonts w:ascii="Verdana" w:eastAsia="Arial Unicode MS" w:hAnsi="Verdana" w:cs="Arial Unicode MS"/>
          <w:b/>
          <w:bCs/>
          <w:color w:val="FF0000"/>
          <w:sz w:val="28"/>
          <w:szCs w:val="26"/>
          <w:bdr w:val="none" w:sz="0" w:space="0" w:color="auto" w:frame="1"/>
        </w:rPr>
      </w:pPr>
      <w:r w:rsidRPr="00557995">
        <w:rPr>
          <w:rStyle w:val="hotelchain"/>
          <w:rFonts w:ascii="Verdana" w:eastAsia="Arial Unicode MS" w:hAnsi="Verdana" w:cs="Arial Unicode MS"/>
          <w:b/>
          <w:bCs/>
          <w:color w:val="FF0000"/>
          <w:sz w:val="28"/>
          <w:szCs w:val="26"/>
          <w:bdr w:val="none" w:sz="0" w:space="0" w:color="auto" w:frame="1"/>
        </w:rPr>
        <w:t>$ 544,00</w:t>
      </w:r>
    </w:p>
    <w:p w14:paraId="095F8831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41AE3FF" w14:textId="30F86EEF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6 días viajando en hoteles de 5 estrellas, con desayuno y 5 comidas incluidas | 6 día(s)</w:t>
      </w:r>
    </w:p>
    <w:p w14:paraId="36A975F2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E1E9A43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** Por tiempo limitado, oferta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upgrade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para Hotel Cueva en Capadocia **</w:t>
      </w:r>
    </w:p>
    <w:p w14:paraId="1710AB8C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591DDF7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Embárquese en un viaje por este cruce de civilizaciones, sus monumentos emblemáticos y sitios declarados Patrimonio de la Humanidad por la UNESCO.</w:t>
      </w:r>
    </w:p>
    <w:p w14:paraId="6B382FB2" w14:textId="1F077CF7" w:rsidR="00FC27C0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Venga y descubra Estambul, la antigua capital de los imperios bizantino y otomano, Ankara, la sede del gobierno, y los paisajes únicos de Capadocia.</w:t>
      </w:r>
      <w:r w:rsid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</w:t>
      </w: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Son 6 días viajando en hoteles de 5 estrellas, con desayuno y 5 comidas incluidas.</w:t>
      </w:r>
    </w:p>
    <w:p w14:paraId="457B3143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153DD80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proofErr w:type="gram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Día  1</w:t>
      </w:r>
      <w:proofErr w:type="gram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Llegada a Estambul</w:t>
      </w:r>
    </w:p>
    <w:p w14:paraId="696550F6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Llegada al aeropuerto de Estambul. Recepción y traslado al hotel (la mayoría de los hoteles sólo aceptan entrada después de las 14:00hrs). Alojamiento.</w:t>
      </w:r>
    </w:p>
    <w:p w14:paraId="6EDFE8EC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EF793BB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AEB394A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proofErr w:type="gram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Día  2</w:t>
      </w:r>
      <w:proofErr w:type="gram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Estambul</w:t>
      </w:r>
    </w:p>
    <w:p w14:paraId="4D0182E1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Desayuno. Su guía lo estará esperando en la recepción del hotel a la hora indicada en la carta de bienvenida, que se entrega durante el traslado de llegada. Si su hotel se encuentra en la zona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Taksim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, el guía esperará en la recepción del hotel a las 07h30 horas. Para hoteles situados fuera de la zona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Taksim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, el guía esperará a las 08h00 horas.</w:t>
      </w:r>
    </w:p>
    <w:p w14:paraId="4E06D804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Le pedimos puntualidad para aprovechar el día de la mejor manera. Traslado al centro histórico de Estambul. Día libre para actividades de su propio gusto. Regreso por su cuenta al hotel, a la hora que prefiera. Alojamiento.</w:t>
      </w:r>
    </w:p>
    <w:p w14:paraId="7799E8F7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Consulte los tours opcionales del día: Estambul Clásico (visita de la Iglesia de Santa Irene, el Palacio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Topkapi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, la Mezquita Azul y el Gran Bazar), con almuerzo incluido.</w:t>
      </w:r>
    </w:p>
    <w:p w14:paraId="668B51ED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9D2D73B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89795A6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A54E961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proofErr w:type="gram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Día  3</w:t>
      </w:r>
      <w:proofErr w:type="gram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Estambul / Ankara</w:t>
      </w:r>
    </w:p>
    <w:p w14:paraId="568A139D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Salida del hotel para realizar un recorrido panorámico por la zona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Taksim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, el corazón de la parte moderna de Estambul. Paseo por la avenida peatonal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Istiklal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, una de las más famosas de la ciudad, para admirar los edificios del siglo XIX, la iglesia de San Antonio, el mercado de pescado y el mercado de frutas. Tiempo libre para almorzar.</w:t>
      </w:r>
    </w:p>
    <w:p w14:paraId="0A1F6506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Continuación del viaje hacia Ankara (450 km). Llegada a la capital turca y cena en el hotel.</w:t>
      </w:r>
    </w:p>
    <w:p w14:paraId="71735BBD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Consulte los tours opcionales del día: Paseo en barco por el Bósforo, con almuerzo incluido.</w:t>
      </w:r>
    </w:p>
    <w:p w14:paraId="71934337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9868200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8361EED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proofErr w:type="gram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Día  4</w:t>
      </w:r>
      <w:proofErr w:type="gram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Ankara / Capadocia</w:t>
      </w:r>
    </w:p>
    <w:p w14:paraId="4F4D5DA3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Visite el Mausoleo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Ataturk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, uno de los ejemplos más destacados de la arquitectura moderna en Turquía. Situado en lo alto de una colina de Ankara, fue diseñado por un arquitecto turco y construido entre 1944 y 1953 para ser el lugar de descanso final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Mustafa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Kemal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Atatürk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, fundador y primer presidente de la moderna República de Turquía.</w:t>
      </w:r>
    </w:p>
    <w:p w14:paraId="660E13A6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Salida hacia Capadocia (290km). Llegada y almuerzo en un restaurante local. Parada fotográfica en el hermoso valle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Avcilar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y después en el pueblo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Uçhisar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, uno de los </w:t>
      </w: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lastRenderedPageBreak/>
        <w:t>más típicos de la región. A continuación, visita de un centro de joyería para descubrir las piedras típicas del país. Continuación hacia su hotel en Capadocia y cena.</w:t>
      </w:r>
    </w:p>
    <w:p w14:paraId="4514B48D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465F589E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2D7859B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proofErr w:type="gram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Día  5</w:t>
      </w:r>
      <w:proofErr w:type="gram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Capadocia</w:t>
      </w:r>
    </w:p>
    <w:p w14:paraId="312D6DD7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Descubra el Museo al Aire Libre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Goreme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, patrimonio de la UNESCO desde 1984. Contiene la mejor colección de iglesias rupestres de Capadocia.</w:t>
      </w:r>
    </w:p>
    <w:p w14:paraId="36DBA57A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Almuerzo en un restaurante local. Parada en el encantador Valle Rojo (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Devrent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). Tiempo libre en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Ortahisar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, un pintoresco pueblo agrícola.</w:t>
      </w:r>
    </w:p>
    <w:p w14:paraId="23680107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El recorrido continúa con una visita a un centro de artesanía, famoso por sus alfombras.</w:t>
      </w:r>
    </w:p>
    <w:p w14:paraId="67FC3CDC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Antes de regresar al hotel, exploración de una histórica ciudad subterránea, conocida por sus casas y túneles secretos, que diversos pueblos han utilizado como refugio a lo largo de los siglos. Cena en el hotel.</w:t>
      </w:r>
    </w:p>
    <w:p w14:paraId="52B7C386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Consulte los tours opcionales del día: Paseo en globo aerostático.</w:t>
      </w:r>
    </w:p>
    <w:p w14:paraId="6ED4D254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595DADF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0FA8EAE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proofErr w:type="gram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Día  6</w:t>
      </w:r>
      <w:proofErr w:type="gram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Salida de Capadocia</w:t>
      </w:r>
    </w:p>
    <w:p w14:paraId="774071D0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Los servicios del hotel finalizan con el desayuno (la habitación puede permanecer ocupada hasta las 10h00 o las 12h00, según las normas de cada hotel). Tiempo libre hasta el traslado al aeropuerto de Kayseri. Regreso a su país. Fin de viaje.</w:t>
      </w:r>
    </w:p>
    <w:p w14:paraId="7E5B3923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CABE83B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Notas:</w:t>
      </w:r>
    </w:p>
    <w:p w14:paraId="39F8E44B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C5AE851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1) En caso necesario, podrán introducirse cambios en el orden de las rutas y visitas descritas en el itinerario.</w:t>
      </w:r>
    </w:p>
    <w:p w14:paraId="668F2172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2) Las propinas para guías y conductores no están incluidas. El valor orientativo para abonar directamente al guía es de € 40 por persona.</w:t>
      </w:r>
    </w:p>
    <w:p w14:paraId="1C031132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3) Para las comidas incluidas, presentamos las mejores opciones disponibles para grupos en cada región, pero es importante tener en cuenta que no se trata de un itinerario gastronómico, sino cultural.</w:t>
      </w:r>
    </w:p>
    <w:p w14:paraId="3CB76B87" w14:textId="77777777" w:rsidR="00FC27C0" w:rsidRPr="006528EA" w:rsidRDefault="00FC27C0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4) Ramadán (del 28 de febrero al 29 de marzo de 2025): Todos los museos, mezquitas, bazares y restaurantes estarán abiertos.</w:t>
      </w:r>
    </w:p>
    <w:p w14:paraId="3CEA3731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D07EC9C" w14:textId="77777777" w:rsidR="006528EA" w:rsidRPr="006528EA" w:rsidRDefault="006528EA" w:rsidP="006528EA">
      <w:pPr>
        <w:pStyle w:val="Sinespaciado"/>
        <w:jc w:val="both"/>
        <w:rPr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  <w:r w:rsidRPr="006528EA">
        <w:rPr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  <w:t>Servicios incluidos</w:t>
      </w:r>
    </w:p>
    <w:p w14:paraId="1A7B4872" w14:textId="21D590A3" w:rsidR="006528EA" w:rsidRDefault="006528EA" w:rsidP="006528EA">
      <w:pPr>
        <w:pStyle w:val="Sinespaciado"/>
        <w:numPr>
          <w:ilvl w:val="0"/>
          <w:numId w:val="16"/>
        </w:numPr>
        <w:jc w:val="both"/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5 desayunos y 5 comidas (2 almuerzos y 3 cenas) en restaurantes locales o hoteles</w:t>
      </w: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br/>
        <w:t>Viaje en autobús o van de turismo</w:t>
      </w:r>
      <w: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.</w:t>
      </w:r>
    </w:p>
    <w:p w14:paraId="4DA80814" w14:textId="77777777" w:rsidR="006528EA" w:rsidRDefault="006528EA" w:rsidP="006528EA">
      <w:pPr>
        <w:pStyle w:val="Sinespaciado"/>
        <w:numPr>
          <w:ilvl w:val="0"/>
          <w:numId w:val="16"/>
        </w:numP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1 traslado de llegada y 1 traslado de salida por reserva (los traslados sólo están incluidos si recibimos la información de los vuelos hasta 15 días antes del inicio del</w:t>
      </w:r>
      <w: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</w:t>
      </w: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viaje)</w:t>
      </w:r>
    </w:p>
    <w:p w14:paraId="2A8C58EC" w14:textId="77777777" w:rsidR="006528EA" w:rsidRDefault="006528EA" w:rsidP="006528EA">
      <w:pPr>
        <w:pStyle w:val="Sinespaciado"/>
        <w:numPr>
          <w:ilvl w:val="0"/>
          <w:numId w:val="16"/>
        </w:numP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Servicio de maleteros en los hoteles (1 maleta por persona), excepto en Estambul</w:t>
      </w:r>
      <w: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.</w:t>
      </w:r>
    </w:p>
    <w:p w14:paraId="7C99B5E6" w14:textId="77777777" w:rsidR="006528EA" w:rsidRDefault="006528EA" w:rsidP="006528EA">
      <w:pPr>
        <w:pStyle w:val="Sinespaciado"/>
        <w:numPr>
          <w:ilvl w:val="0"/>
          <w:numId w:val="16"/>
        </w:numP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Alojamiento en la categoría reservada en los hoteles previstos (o similares)</w:t>
      </w:r>
    </w:p>
    <w:p w14:paraId="17C0D96C" w14:textId="77777777" w:rsidR="006528EA" w:rsidRDefault="006528EA" w:rsidP="006528EA">
      <w:pPr>
        <w:pStyle w:val="Sinespaciado"/>
        <w:numPr>
          <w:ilvl w:val="0"/>
          <w:numId w:val="16"/>
        </w:numP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Tasas hoteleras y de servicio</w:t>
      </w:r>
      <w: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.</w:t>
      </w:r>
    </w:p>
    <w:p w14:paraId="62DB53EB" w14:textId="77777777" w:rsidR="006528EA" w:rsidRDefault="006528EA" w:rsidP="006528EA">
      <w:pPr>
        <w:pStyle w:val="Sinespaciado"/>
        <w:numPr>
          <w:ilvl w:val="0"/>
          <w:numId w:val="16"/>
        </w:numP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Acompañamiento del 2º al penúltimo día del viaje por un guía bilingüe (español y portugués)</w:t>
      </w:r>
    </w:p>
    <w:p w14:paraId="040CE189" w14:textId="132F58F5" w:rsidR="006528EA" w:rsidRPr="006528EA" w:rsidRDefault="006528EA" w:rsidP="006528EA">
      <w:pPr>
        <w:pStyle w:val="Sinespaciado"/>
        <w:numPr>
          <w:ilvl w:val="0"/>
          <w:numId w:val="16"/>
        </w:numPr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Visitas panorámicas (entrada no incluida): Estambul y la región de Capadocia</w:t>
      </w:r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br/>
        <w:t xml:space="preserve">Visitas, entradas a museos y monumentos según itinerario: Mausoleo de </w:t>
      </w:r>
      <w:proofErr w:type="spellStart"/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Ataturk</w:t>
      </w:r>
      <w:proofErr w:type="spellEnd"/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, Museo al Aire Libre de </w:t>
      </w:r>
      <w:proofErr w:type="spellStart"/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Goreme</w:t>
      </w:r>
      <w:proofErr w:type="spellEnd"/>
      <w:r w:rsidRPr="006528EA">
        <w:rPr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, Ciudad Subterránea en Capadocia</w:t>
      </w:r>
    </w:p>
    <w:p w14:paraId="3A4F6996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85685BC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1B3B3A81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1A72B3EF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2E241F0B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1A797536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4BD39478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</w:p>
    <w:p w14:paraId="0B97AB03" w14:textId="40926904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szCs w:val="20"/>
          <w:bdr w:val="none" w:sz="0" w:space="0" w:color="auto" w:frame="1"/>
        </w:rPr>
        <w:t>Servicios excluidos</w:t>
      </w:r>
    </w:p>
    <w:p w14:paraId="0B7436C1" w14:textId="752ED26D" w:rsidR="006528EA" w:rsidRDefault="006528EA" w:rsidP="00C3580C">
      <w:pPr>
        <w:pStyle w:val="Sinespaciado"/>
        <w:numPr>
          <w:ilvl w:val="0"/>
          <w:numId w:val="17"/>
        </w:numPr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Extras personales</w:t>
      </w: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.</w:t>
      </w:r>
    </w:p>
    <w:p w14:paraId="04655126" w14:textId="77777777" w:rsidR="006528EA" w:rsidRPr="006528EA" w:rsidRDefault="006528EA" w:rsidP="006528EA">
      <w:pPr>
        <w:pStyle w:val="Sinespaciado"/>
        <w:numPr>
          <w:ilvl w:val="0"/>
          <w:numId w:val="17"/>
        </w:numPr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Vuelos</w:t>
      </w:r>
    </w:p>
    <w:p w14:paraId="5C3D58E5" w14:textId="77777777" w:rsidR="006528EA" w:rsidRPr="006528EA" w:rsidRDefault="006528EA" w:rsidP="006528EA">
      <w:pPr>
        <w:pStyle w:val="Sinespaciado"/>
        <w:numPr>
          <w:ilvl w:val="0"/>
          <w:numId w:val="17"/>
        </w:numPr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Bebidas con las comidas</w:t>
      </w:r>
    </w:p>
    <w:p w14:paraId="5B1EEB48" w14:textId="77777777" w:rsidR="006528EA" w:rsidRPr="006528EA" w:rsidRDefault="006528EA" w:rsidP="006528EA">
      <w:pPr>
        <w:pStyle w:val="Sinespaciado"/>
        <w:numPr>
          <w:ilvl w:val="0"/>
          <w:numId w:val="17"/>
        </w:numPr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Propinas a guías, chóferes y maleteros (valor orientativo: USD 40 por persona)</w:t>
      </w:r>
    </w:p>
    <w:p w14:paraId="2B5BA44E" w14:textId="77777777" w:rsidR="006528EA" w:rsidRPr="006528EA" w:rsidRDefault="006528EA" w:rsidP="006528EA">
      <w:pPr>
        <w:pStyle w:val="Sinespaciado"/>
        <w:numPr>
          <w:ilvl w:val="0"/>
          <w:numId w:val="17"/>
        </w:numPr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Todos aquellos servicios que no se encuentren debidamente especificados en los "SERVICIOS INCLUIDOS"</w:t>
      </w:r>
    </w:p>
    <w:p w14:paraId="75BB20B8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6E331A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4F3877C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DA1A16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PROPINAS:</w:t>
      </w:r>
    </w:p>
    <w:p w14:paraId="7CB8A721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2F09339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Son una forma de agradecer el buen servicio prestado por el guía y el conductor. Arraigadas en la cultura turca, suelen ser sugeridas por el guía del grupo al final del tour.</w:t>
      </w:r>
    </w:p>
    <w:p w14:paraId="724CE3D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ACCE1A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Precios indicativos por persona: USD 40</w:t>
      </w:r>
    </w:p>
    <w:p w14:paraId="70F8BE85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1B1D6C6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E89377A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1224373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TRASLADOS:</w:t>
      </w:r>
    </w:p>
    <w:p w14:paraId="3A825DA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E5C58D1" w14:textId="364ED4F0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1 traslado de llegada y 1 traslado de salida por reserva. Si hay más de 1 vuelo por reserva a la llegada o a la salida, se aplicará un suplemento adicional de USD 180 por traslado.</w:t>
      </w:r>
    </w:p>
    <w:p w14:paraId="3A30222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15E45FE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497167A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HOTELES:</w:t>
      </w:r>
    </w:p>
    <w:p w14:paraId="234625B5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5214CFF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La clasificación oficial de los hoteles es responsabilidad total y exclusiva de las entidades oficiales de turismo del país al que pertenecen. Los criterios de evaluación difieren de un país a otro, por lo que un hotel de 5 estrellas en Turquía puede no tener las mismas características que un hotel con la misma clasificación en Europa.</w:t>
      </w:r>
    </w:p>
    <w:p w14:paraId="7993ADF9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1861368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En algunas fechas, y dependiendo del número de participantes, pueden ocurrir cambios en los hoteles previstos (se confirmarán hoteles similares).</w:t>
      </w:r>
    </w:p>
    <w:p w14:paraId="7FA3509F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758EDC8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Algunos hoteles pueden exigir una tarjeta de crédito (depósito) al momento del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check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-in.</w:t>
      </w:r>
    </w:p>
    <w:p w14:paraId="69A6DB9C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4143D43A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La mayoría de las habitaciones son formadas por dos camas individuales. El tamaño de las camas y habitaciones de hotel es para 2 personas.</w:t>
      </w:r>
    </w:p>
    <w:p w14:paraId="623185C4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0E5A219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Las habitaciones son estándar (simple). Es difícil conseguir habitaciones contiguas. Si desea una cama doble, informe al agente de viajes al hacer la reserva, pero estará sujeto a confirmación al momento del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check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-in.</w:t>
      </w:r>
    </w:p>
    <w:p w14:paraId="24885028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C77D56A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Habitación triple - En la mayoría de los hoteles, la cama supletoria para la tercera persona no es de igual tamaño y comodidad. No recomendamos habitaciones triples para 3 adultos.</w:t>
      </w:r>
    </w:p>
    <w:p w14:paraId="3C4316E7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4D27C1F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49F0BA28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99F1756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EBDC1ED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FEAFECF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10509EB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32264FA" w14:textId="553E45B5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ITINERARIO/VISITAS:</w:t>
      </w:r>
    </w:p>
    <w:p w14:paraId="4988997F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8756C57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Si necesario, pueden ocurrir cambios en el orden de las rutas y visitas descritas en el itinerario.</w:t>
      </w:r>
    </w:p>
    <w:p w14:paraId="6BC9F8DB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E5CCCB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Las visitas a las tiendas indicadas en el itinerario (tapicería, joyería, marroquinería y cerámica) tendrán una duración variable, en función del interés de los participantes.</w:t>
      </w:r>
    </w:p>
    <w:p w14:paraId="092561C5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A247045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2F3FFA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45A28101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TRASLADOS:</w:t>
      </w:r>
    </w:p>
    <w:p w14:paraId="063BE214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425CBD28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1 traslado de llegada y 1 traslado de salida por reserva. Si hay más de 1 vuelo por reserva a la llegada o a la salida, se aplicará un suplemento adicional de € 180 por traslado.</w:t>
      </w:r>
    </w:p>
    <w:p w14:paraId="7AD18197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2658ACB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C8A8137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88BCAF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COMIDAS INCLUIDAS:</w:t>
      </w:r>
    </w:p>
    <w:p w14:paraId="75F5164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66396E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Presentamos las mejores opciones disponibles para grupos en cada región, pero es importante tener en cuenta que no se trata de un itinerario gastronómico, sino cultural.</w:t>
      </w:r>
    </w:p>
    <w:p w14:paraId="459FF281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427249E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CB48E81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5CB9AD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MONUMENTOS Y FIESTAS:</w:t>
      </w:r>
    </w:p>
    <w:p w14:paraId="6EFF275A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4D95A95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Ramadán (del 28 de febrero al 29 de marzo de 2025): Todos los museos, mezquitas, bazares y restaurantes estarán abiertos.</w:t>
      </w:r>
    </w:p>
    <w:p w14:paraId="018D91EC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F23CA2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Fiesta de fin del Ramadán (del 30 de marzo al 1 de abril de 2025): Algunos monumentos y lugares de interés como el Mercado de las Especias, el Gran Bazar y la Gran Mezquita de Santa Sofía permanecerán cerrados.</w:t>
      </w:r>
    </w:p>
    <w:p w14:paraId="0B0DFABB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2589364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Fiesta del Sacrificio (del 06 al 09 de junio de 2025): Algunos monumentos y lugares de interés como el Mercado de las Especias, el Gran Bazar y la Mezquita de Santa Sofía permanecerán cerrados.</w:t>
      </w:r>
    </w:p>
    <w:p w14:paraId="0B1B2F0C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CE894AC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19C5A3E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63EF739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NIÑOS:</w:t>
      </w:r>
    </w:p>
    <w:p w14:paraId="089EF6CA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56E55E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Programa no recomendado para niños de hasta 5 años (incluidos). Nos reservamos el derecho de no aceptar participantes hasta esa edad.</w:t>
      </w:r>
    </w:p>
    <w:p w14:paraId="04E1A947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027CB07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1A4BB4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A8A5D34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00D8A78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B29CFC5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4D0103BA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8D5A17E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4AEF20E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E9B3EB8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4929B2E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6A55C10" w14:textId="77777777" w:rsid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7B0CC82" w14:textId="7758042E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HOTELES PREVISTOS (O SIMILARES):</w:t>
      </w:r>
    </w:p>
    <w:p w14:paraId="34A2890B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A704176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F8C3D3C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215F9D1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Estambul:</w:t>
      </w:r>
    </w:p>
    <w:p w14:paraId="001DAAA9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D28BFCF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Elite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World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Istanbul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Florya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| Windsor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Bayrampasa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| Lionel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Bayrampasa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|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Wishmore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Bayrampasa</w:t>
      </w:r>
      <w:proofErr w:type="spellEnd"/>
    </w:p>
    <w:p w14:paraId="6F531455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13FE89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BCA02BA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3FD783AB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Ankara:</w:t>
      </w:r>
    </w:p>
    <w:p w14:paraId="49E318C1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8397197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CP Ankara | Hilton SA | Holiday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Inn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Çukurambar</w:t>
      </w:r>
      <w:proofErr w:type="spellEnd"/>
    </w:p>
    <w:p w14:paraId="3EC780A7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069F557F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99F9FE9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BC67F04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Capadocia:</w:t>
      </w:r>
    </w:p>
    <w:p w14:paraId="3903A055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B2ABBA9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Crowne Plaza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Nevsehir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|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Mustafa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Cappadocia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| Ramada</w:t>
      </w:r>
    </w:p>
    <w:p w14:paraId="116E39FC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4CB3282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0173A94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62F0945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OPCIÓN CON HOTEL EN EL ÁREA DE TAKSIM EN ESTAMBUL:</w:t>
      </w:r>
    </w:p>
    <w:p w14:paraId="35837D2D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1065EA69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Por un suplemento, puede elegir un hotel de 4 estrellas en la zona de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Taksim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, el corazón de la Estambul moderna, un barrio animado con vida nocturna, tiendas y restaurantes.</w:t>
      </w:r>
    </w:p>
    <w:p w14:paraId="30DE876D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3FE2CCC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Hoteles previstos (o similares):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Arts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Hotel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Taksim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| Occidental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Taksim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|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Titanic</w:t>
      </w:r>
      <w:proofErr w:type="spellEnd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 xml:space="preserve"> City </w:t>
      </w:r>
      <w:proofErr w:type="spellStart"/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Taksim</w:t>
      </w:r>
      <w:proofErr w:type="spellEnd"/>
    </w:p>
    <w:p w14:paraId="290983E6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6D15D6B5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79DADAE2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C0BF720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OPCIÓN CON HOTEL CUEVA EN CAPADOCIA:</w:t>
      </w:r>
    </w:p>
    <w:p w14:paraId="52147D89" w14:textId="77777777" w:rsidR="006528EA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563FB609" w14:textId="7720D4B9" w:rsidR="00FC27C0" w:rsidRPr="006528EA" w:rsidRDefault="006528EA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  <w:r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t>Por un suplemento, puede optar por alojarse en un hotel de estilo tradicional. Los "hoteles cueva" pertenecen a una categoría especial, ya que incorporan características de antiguas cuevas y ofrecen las comodidades y servicios necesarios. Sin embargo, no todos los "hoteles cueva" son realmente hoteles dentro de cuevas. Debido a la gran demanda de este tipo de alojamiento, se han construido más habitaciones en piedra, adosadas a la estructura original, manteniendo la esencia de la región.</w:t>
      </w:r>
      <w:r w:rsidR="00FC27C0" w:rsidRPr="006528EA"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  <w:br w:type="page"/>
      </w:r>
    </w:p>
    <w:p w14:paraId="32306CFC" w14:textId="77777777" w:rsidR="008D48F2" w:rsidRPr="006528EA" w:rsidRDefault="008D48F2" w:rsidP="006528EA">
      <w:pPr>
        <w:pStyle w:val="Sinespaciado"/>
        <w:jc w:val="both"/>
        <w:rPr>
          <w:rStyle w:val="hotelchain"/>
          <w:rFonts w:ascii="Verdana" w:eastAsia="Arial Unicode MS" w:hAnsi="Verdana" w:cs="Arial Unicode MS"/>
          <w:sz w:val="20"/>
          <w:szCs w:val="20"/>
          <w:bdr w:val="none" w:sz="0" w:space="0" w:color="auto" w:frame="1"/>
        </w:rPr>
      </w:pPr>
    </w:p>
    <w:p w14:paraId="20725DE2" w14:textId="77777777" w:rsidR="006528EA" w:rsidRDefault="006528EA" w:rsidP="006528EA">
      <w:pPr>
        <w:pStyle w:val="Sinespaciado"/>
        <w:jc w:val="both"/>
        <w:rPr>
          <w:rFonts w:ascii="Verdana" w:eastAsia="Times New Roman" w:hAnsi="Verdana" w:cs="Times New Roman"/>
          <w:sz w:val="20"/>
          <w:szCs w:val="20"/>
          <w:lang w:eastAsia="es-PE"/>
        </w:rPr>
      </w:pPr>
    </w:p>
    <w:p w14:paraId="4DEA719E" w14:textId="10C99553" w:rsidR="00347638" w:rsidRPr="006528EA" w:rsidRDefault="00347638" w:rsidP="006528EA">
      <w:pPr>
        <w:pStyle w:val="Sinespaciado"/>
        <w:jc w:val="both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 w:rsidRPr="006528EA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6528EA" w:rsidRDefault="002A5B76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67A0798" w14:textId="3007B170" w:rsidR="00DE2CFA" w:rsidRPr="006528EA" w:rsidRDefault="002A5B76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 xml:space="preserve">Incentivo </w:t>
      </w:r>
      <w:r w:rsidR="00C84041" w:rsidRPr="006528EA">
        <w:rPr>
          <w:rFonts w:ascii="Verdana" w:hAnsi="Verdana"/>
          <w:sz w:val="20"/>
          <w:szCs w:val="20"/>
          <w:lang w:val="es-ES" w:eastAsia="es-PE"/>
        </w:rPr>
        <w:t>US</w:t>
      </w:r>
      <w:r w:rsidR="00A316AD" w:rsidRPr="006528EA">
        <w:rPr>
          <w:rFonts w:ascii="Verdana" w:hAnsi="Verdana"/>
          <w:sz w:val="20"/>
          <w:szCs w:val="20"/>
          <w:lang w:val="es-ES" w:eastAsia="es-PE"/>
        </w:rPr>
        <w:t>$</w:t>
      </w:r>
      <w:r w:rsidR="00C84041" w:rsidRPr="006528EA">
        <w:rPr>
          <w:rFonts w:ascii="Verdana" w:hAnsi="Verdana"/>
          <w:sz w:val="20"/>
          <w:szCs w:val="20"/>
          <w:lang w:val="es-ES" w:eastAsia="es-PE"/>
        </w:rPr>
        <w:t xml:space="preserve"> </w:t>
      </w:r>
      <w:r w:rsidR="006528EA">
        <w:rPr>
          <w:rFonts w:ascii="Verdana" w:hAnsi="Verdana"/>
          <w:sz w:val="20"/>
          <w:szCs w:val="20"/>
          <w:lang w:val="es-ES" w:eastAsia="es-PE"/>
        </w:rPr>
        <w:t>5</w:t>
      </w:r>
      <w:r w:rsidR="009B0E83" w:rsidRPr="006528EA">
        <w:rPr>
          <w:rFonts w:ascii="Verdana" w:hAnsi="Verdana"/>
          <w:sz w:val="20"/>
          <w:szCs w:val="20"/>
          <w:lang w:val="es-ES" w:eastAsia="es-PE"/>
        </w:rPr>
        <w:t>0</w:t>
      </w:r>
      <w:r w:rsidR="00A316AD" w:rsidRPr="006528EA">
        <w:rPr>
          <w:rFonts w:ascii="Verdana" w:hAnsi="Verdana"/>
          <w:sz w:val="20"/>
          <w:szCs w:val="20"/>
          <w:lang w:val="es-ES" w:eastAsia="es-PE"/>
        </w:rPr>
        <w:t xml:space="preserve">.00 por pasajero adulto. </w:t>
      </w:r>
    </w:p>
    <w:p w14:paraId="0F57BD6B" w14:textId="65E4748A" w:rsidR="004B60A8" w:rsidRPr="006528EA" w:rsidRDefault="004B60A8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 xml:space="preserve">Precios en </w:t>
      </w:r>
      <w:r w:rsidR="003C0E97" w:rsidRPr="006528EA">
        <w:rPr>
          <w:rFonts w:ascii="Verdana" w:hAnsi="Verdana"/>
          <w:sz w:val="20"/>
          <w:szCs w:val="20"/>
          <w:lang w:val="es-ES" w:eastAsia="es-PE"/>
        </w:rPr>
        <w:t>dólares</w:t>
      </w:r>
      <w:r w:rsidRPr="006528EA">
        <w:rPr>
          <w:rFonts w:ascii="Verdana" w:hAnsi="Verdana"/>
          <w:sz w:val="20"/>
          <w:szCs w:val="20"/>
          <w:lang w:val="es-ES" w:eastAsia="es-PE"/>
        </w:rPr>
        <w:t xml:space="preserve"> por pasajero.</w:t>
      </w:r>
    </w:p>
    <w:p w14:paraId="6E001E5C" w14:textId="77777777" w:rsidR="00FB1494" w:rsidRPr="006528EA" w:rsidRDefault="00FB1494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</w:rPr>
      </w:pPr>
      <w:r w:rsidRPr="006528EA">
        <w:rPr>
          <w:rFonts w:ascii="Verdana" w:hAnsi="Verdana"/>
          <w:sz w:val="20"/>
          <w:szCs w:val="20"/>
        </w:rPr>
        <w:t>Sujeto a disponibilidad de espacios o hasta agotar stock.</w:t>
      </w:r>
    </w:p>
    <w:p w14:paraId="0180C0DE" w14:textId="3E4290F8" w:rsidR="00E169F1" w:rsidRPr="006528EA" w:rsidRDefault="006528EA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>
        <w:rPr>
          <w:rFonts w:ascii="Verdana" w:hAnsi="Verdana"/>
          <w:sz w:val="20"/>
          <w:szCs w:val="20"/>
          <w:lang w:val="es-ES" w:eastAsia="es-PE"/>
        </w:rPr>
        <w:t>N</w:t>
      </w:r>
      <w:r w:rsidR="00E169F1" w:rsidRPr="006528EA">
        <w:rPr>
          <w:rFonts w:ascii="Verdana" w:hAnsi="Verdana"/>
          <w:sz w:val="20"/>
          <w:szCs w:val="20"/>
          <w:lang w:val="es-ES" w:eastAsia="es-PE"/>
        </w:rPr>
        <w:t>o están incluidos.</w:t>
      </w:r>
    </w:p>
    <w:p w14:paraId="41905E01" w14:textId="77777777" w:rsidR="00B33061" w:rsidRPr="006528EA" w:rsidRDefault="00B33061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>No permite reembolso.</w:t>
      </w:r>
    </w:p>
    <w:p w14:paraId="5A733616" w14:textId="57B2F28C" w:rsidR="00347638" w:rsidRPr="006528EA" w:rsidRDefault="00B33061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>No permite endoso.</w:t>
      </w:r>
    </w:p>
    <w:p w14:paraId="54696151" w14:textId="77777777" w:rsidR="00BB4F80" w:rsidRPr="006528EA" w:rsidRDefault="00BB4F80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>Para pagos en SOLES, aplicará según tipo de cambio del día. Consultar.</w:t>
      </w:r>
    </w:p>
    <w:p w14:paraId="69C74BA5" w14:textId="32B72156" w:rsidR="00BB4F80" w:rsidRPr="006528EA" w:rsidRDefault="00BB4F80" w:rsidP="006528EA">
      <w:pPr>
        <w:pStyle w:val="Sinespaciado"/>
        <w:numPr>
          <w:ilvl w:val="0"/>
          <w:numId w:val="18"/>
        </w:numPr>
        <w:jc w:val="both"/>
        <w:rPr>
          <w:rFonts w:ascii="Verdana" w:hAnsi="Verdana" w:cs="Arial"/>
          <w:sz w:val="20"/>
          <w:szCs w:val="20"/>
          <w:lang w:val="es-ES"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  <w:r w:rsidR="00017FFA" w:rsidRPr="006528EA">
        <w:rPr>
          <w:rFonts w:ascii="Verdana" w:hAnsi="Verdana"/>
          <w:sz w:val="20"/>
          <w:szCs w:val="20"/>
          <w:lang w:val="es-ES" w:eastAsia="es-PE"/>
        </w:rPr>
        <w:t>.</w:t>
      </w:r>
    </w:p>
    <w:p w14:paraId="41A0A07D" w14:textId="77777777" w:rsidR="00017FFA" w:rsidRPr="006528EA" w:rsidRDefault="00017FFA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bookmarkStart w:id="0" w:name="_Hlk200368560"/>
      <w:r w:rsidRPr="006528EA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4A39B82C" w14:textId="77777777" w:rsidR="00017FFA" w:rsidRPr="006528EA" w:rsidRDefault="00017FFA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235B44E1" w14:textId="77777777" w:rsidR="00017FFA" w:rsidRPr="006528EA" w:rsidRDefault="00017FFA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7F6E3DDB" w14:textId="77777777" w:rsidR="00017FFA" w:rsidRPr="006528EA" w:rsidRDefault="00017FFA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4347FDC2" w14:textId="77777777" w:rsidR="00017FFA" w:rsidRPr="006528EA" w:rsidRDefault="00017FFA" w:rsidP="006528EA">
      <w:pPr>
        <w:pStyle w:val="Sinespaciado"/>
        <w:numPr>
          <w:ilvl w:val="0"/>
          <w:numId w:val="18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6528EA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683079B9" w14:textId="77777777" w:rsidR="00017FFA" w:rsidRPr="006528EA" w:rsidRDefault="00017FFA" w:rsidP="006528EA">
      <w:pPr>
        <w:pStyle w:val="Sinespaciado"/>
        <w:jc w:val="both"/>
        <w:rPr>
          <w:rFonts w:ascii="Verdana" w:hAnsi="Verdana" w:cs="Arial"/>
          <w:sz w:val="20"/>
          <w:szCs w:val="20"/>
          <w:lang w:val="es-ES" w:eastAsia="es-PE"/>
        </w:rPr>
      </w:pPr>
    </w:p>
    <w:p w14:paraId="348DA086" w14:textId="77777777" w:rsidR="00B33061" w:rsidRPr="006528EA" w:rsidRDefault="00B33061" w:rsidP="006528EA">
      <w:pPr>
        <w:pStyle w:val="Sinespaciado"/>
        <w:jc w:val="both"/>
        <w:rPr>
          <w:rFonts w:ascii="Verdana" w:hAnsi="Verdana" w:cs="Arial"/>
          <w:sz w:val="20"/>
          <w:szCs w:val="20"/>
          <w:lang w:val="es-ES" w:eastAsia="es-PE"/>
        </w:rPr>
      </w:pPr>
    </w:p>
    <w:p w14:paraId="3854059A" w14:textId="77777777" w:rsidR="00147CD5" w:rsidRPr="006528EA" w:rsidRDefault="00147CD5" w:rsidP="006528EA">
      <w:pPr>
        <w:pStyle w:val="Sinespaciado"/>
        <w:jc w:val="both"/>
        <w:rPr>
          <w:rFonts w:ascii="Verdana" w:hAnsi="Verdana" w:cs="Arial"/>
          <w:sz w:val="20"/>
          <w:szCs w:val="20"/>
          <w:highlight w:val="yellow"/>
          <w:lang w:val="es-ES" w:eastAsia="es-PE"/>
        </w:rPr>
      </w:pPr>
    </w:p>
    <w:p w14:paraId="0A67C562" w14:textId="77777777" w:rsidR="00147CD5" w:rsidRPr="006528EA" w:rsidRDefault="00147CD5" w:rsidP="006528EA">
      <w:pPr>
        <w:pStyle w:val="Sinespaciado"/>
        <w:jc w:val="center"/>
        <w:rPr>
          <w:rFonts w:ascii="Verdana" w:hAnsi="Verdana" w:cs="Arial"/>
          <w:b/>
          <w:bCs/>
          <w:sz w:val="20"/>
          <w:szCs w:val="20"/>
          <w:lang w:val="es-ES" w:eastAsia="es-PE"/>
        </w:rPr>
      </w:pPr>
      <w:r w:rsidRPr="006528EA">
        <w:rPr>
          <w:rFonts w:ascii="Verdana" w:hAnsi="Verdana" w:cs="Arial"/>
          <w:b/>
          <w:bCs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77777777" w:rsidR="00EE121F" w:rsidRPr="006528EA" w:rsidRDefault="00EE121F" w:rsidP="006528EA">
      <w:pPr>
        <w:pStyle w:val="Sinespaciado"/>
        <w:jc w:val="both"/>
        <w:rPr>
          <w:rFonts w:ascii="Verdana" w:hAnsi="Verdana" w:cs="Arial"/>
          <w:sz w:val="20"/>
          <w:szCs w:val="20"/>
          <w:lang w:val="es-ES" w:eastAsia="es-PE"/>
        </w:rPr>
      </w:pPr>
    </w:p>
    <w:p w14:paraId="464F2412" w14:textId="5C00A331" w:rsidR="00EE121F" w:rsidRPr="006528EA" w:rsidRDefault="00EE121F" w:rsidP="006528EA">
      <w:pPr>
        <w:pStyle w:val="Sinespaciado"/>
        <w:jc w:val="both"/>
        <w:rPr>
          <w:rFonts w:ascii="Verdana" w:hAnsi="Verdana" w:cs="Arial"/>
          <w:sz w:val="20"/>
          <w:szCs w:val="20"/>
          <w:lang w:val="es-ES" w:eastAsia="es-PE"/>
        </w:rPr>
      </w:pPr>
    </w:p>
    <w:p w14:paraId="1F8172FB" w14:textId="4424DB67" w:rsidR="00E03861" w:rsidRPr="006528EA" w:rsidRDefault="00E03861" w:rsidP="006528EA">
      <w:pPr>
        <w:pStyle w:val="Sinespaciado"/>
        <w:jc w:val="both"/>
        <w:rPr>
          <w:rFonts w:ascii="Verdana" w:hAnsi="Verdana" w:cs="Arial"/>
          <w:sz w:val="20"/>
          <w:szCs w:val="20"/>
          <w:lang w:val="es-ES" w:eastAsia="es-PE"/>
        </w:rPr>
      </w:pPr>
    </w:p>
    <w:p w14:paraId="61129006" w14:textId="77777777" w:rsidR="00E64781" w:rsidRPr="006528EA" w:rsidRDefault="00E64781" w:rsidP="006528EA">
      <w:pPr>
        <w:pStyle w:val="Sinespaciado"/>
        <w:jc w:val="both"/>
        <w:rPr>
          <w:rFonts w:ascii="Verdana" w:hAnsi="Verdana"/>
          <w:sz w:val="20"/>
          <w:szCs w:val="20"/>
          <w:lang w:eastAsia="es-PE"/>
        </w:rPr>
      </w:pPr>
    </w:p>
    <w:p w14:paraId="1C12F692" w14:textId="77777777" w:rsidR="00E03861" w:rsidRPr="006528EA" w:rsidRDefault="00E03861" w:rsidP="006528EA">
      <w:pPr>
        <w:pStyle w:val="Sinespaciado"/>
        <w:jc w:val="both"/>
        <w:rPr>
          <w:rFonts w:ascii="Verdana" w:hAnsi="Verdana" w:cs="Arial"/>
          <w:sz w:val="20"/>
          <w:szCs w:val="20"/>
          <w:lang w:val="es-ES" w:eastAsia="es-PE"/>
        </w:rPr>
      </w:pPr>
    </w:p>
    <w:sectPr w:rsidR="00E03861" w:rsidRPr="006528EA" w:rsidSect="002A0DF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2B7EC" w14:textId="77777777" w:rsidR="008829E1" w:rsidRDefault="008829E1" w:rsidP="007505C2">
      <w:pPr>
        <w:spacing w:after="0" w:line="240" w:lineRule="auto"/>
      </w:pPr>
      <w:r>
        <w:separator/>
      </w:r>
    </w:p>
  </w:endnote>
  <w:endnote w:type="continuationSeparator" w:id="0">
    <w:p w14:paraId="4431558D" w14:textId="77777777" w:rsidR="008829E1" w:rsidRDefault="008829E1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93B91" w14:textId="127A2842" w:rsidR="00E36680" w:rsidRDefault="008D48F2" w:rsidP="001E1DC1">
    <w:pPr>
      <w:pStyle w:val="Encabezado"/>
      <w:jc w:val="center"/>
      <w:rPr>
        <w:noProof/>
        <w:lang w:eastAsia="es-PE"/>
      </w:rPr>
    </w:pPr>
    <w:hyperlink r:id="rId1" w:history="1">
      <w:r w:rsidRPr="000043E0">
        <w:rPr>
          <w:rStyle w:val="Hipervnculo"/>
          <w:noProof/>
          <w:lang w:eastAsia="es-PE"/>
        </w:rPr>
        <w:t>www.todomundoviajes.com</w:t>
      </w:r>
    </w:hyperlink>
    <w:r>
      <w:rPr>
        <w:noProof/>
        <w:lang w:eastAsia="es-PE"/>
      </w:rPr>
      <w:t xml:space="preserve"> </w:t>
    </w:r>
  </w:p>
  <w:p w14:paraId="050EE9AB" w14:textId="77777777" w:rsidR="0046084A" w:rsidRDefault="00393EF7" w:rsidP="0046084A">
    <w:pPr>
      <w:pStyle w:val="Encabezado"/>
      <w:jc w:val="center"/>
    </w:pPr>
    <w:hyperlink r:id="rId2" w:history="1">
      <w:r w:rsidRPr="001D3379">
        <w:rPr>
          <w:rStyle w:val="Hipervnculo"/>
        </w:rPr>
        <w:t>operaciones@todomundoviajes.com</w:t>
      </w:r>
    </w:hyperlink>
    <w:r>
      <w:t xml:space="preserve"> </w:t>
    </w:r>
    <w:r w:rsidR="0046084A">
      <w:t>–</w:t>
    </w:r>
    <w:r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E36680" w:rsidP="00393EF7">
    <w:pPr>
      <w:pStyle w:val="Encabezado"/>
    </w:pPr>
    <w:hyperlink r:id="rId4" w:history="1"/>
    <w:r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82790" w14:textId="77777777" w:rsidR="008829E1" w:rsidRDefault="008829E1" w:rsidP="007505C2">
      <w:pPr>
        <w:spacing w:after="0" w:line="240" w:lineRule="auto"/>
      </w:pPr>
      <w:r>
        <w:separator/>
      </w:r>
    </w:p>
  </w:footnote>
  <w:footnote w:type="continuationSeparator" w:id="0">
    <w:p w14:paraId="491291D6" w14:textId="77777777" w:rsidR="008829E1" w:rsidRDefault="008829E1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1B552" w14:textId="755BA25C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0393A" w14:textId="57708F05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0A53557E" wp14:editId="3A037F2B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19DACF06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7A44DE0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0B3B" w14:textId="53155B47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367F6"/>
    <w:multiLevelType w:val="hybridMultilevel"/>
    <w:tmpl w:val="552C153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F71DF"/>
    <w:multiLevelType w:val="hybridMultilevel"/>
    <w:tmpl w:val="AFF00E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221594E"/>
    <w:multiLevelType w:val="hybridMultilevel"/>
    <w:tmpl w:val="BA2806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14EDB"/>
    <w:multiLevelType w:val="hybridMultilevel"/>
    <w:tmpl w:val="0FD00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973152">
    <w:abstractNumId w:val="1"/>
  </w:num>
  <w:num w:numId="2" w16cid:durableId="763496739">
    <w:abstractNumId w:val="16"/>
  </w:num>
  <w:num w:numId="3" w16cid:durableId="1141263332">
    <w:abstractNumId w:val="10"/>
  </w:num>
  <w:num w:numId="4" w16cid:durableId="1606615941">
    <w:abstractNumId w:val="3"/>
  </w:num>
  <w:num w:numId="5" w16cid:durableId="554120076">
    <w:abstractNumId w:val="0"/>
  </w:num>
  <w:num w:numId="6" w16cid:durableId="1232621892">
    <w:abstractNumId w:val="4"/>
  </w:num>
  <w:num w:numId="7" w16cid:durableId="1216159082">
    <w:abstractNumId w:val="4"/>
  </w:num>
  <w:num w:numId="8" w16cid:durableId="2021348305">
    <w:abstractNumId w:val="2"/>
  </w:num>
  <w:num w:numId="9" w16cid:durableId="663510545">
    <w:abstractNumId w:val="13"/>
  </w:num>
  <w:num w:numId="10" w16cid:durableId="584001780">
    <w:abstractNumId w:val="7"/>
  </w:num>
  <w:num w:numId="11" w16cid:durableId="253826645">
    <w:abstractNumId w:val="14"/>
  </w:num>
  <w:num w:numId="12" w16cid:durableId="1935479308">
    <w:abstractNumId w:val="5"/>
  </w:num>
  <w:num w:numId="13" w16cid:durableId="220334198">
    <w:abstractNumId w:val="9"/>
  </w:num>
  <w:num w:numId="14" w16cid:durableId="537933992">
    <w:abstractNumId w:val="15"/>
  </w:num>
  <w:num w:numId="15" w16cid:durableId="1121193164">
    <w:abstractNumId w:val="11"/>
  </w:num>
  <w:num w:numId="16" w16cid:durableId="1448811433">
    <w:abstractNumId w:val="12"/>
  </w:num>
  <w:num w:numId="17" w16cid:durableId="13965560">
    <w:abstractNumId w:val="8"/>
  </w:num>
  <w:num w:numId="18" w16cid:durableId="19769812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17FFA"/>
    <w:rsid w:val="000209BF"/>
    <w:rsid w:val="00027982"/>
    <w:rsid w:val="00027DE8"/>
    <w:rsid w:val="00055BE9"/>
    <w:rsid w:val="0005681B"/>
    <w:rsid w:val="0006595E"/>
    <w:rsid w:val="00076847"/>
    <w:rsid w:val="000841B7"/>
    <w:rsid w:val="000A5F0A"/>
    <w:rsid w:val="000A5F14"/>
    <w:rsid w:val="000A69F2"/>
    <w:rsid w:val="000C53EA"/>
    <w:rsid w:val="000D4039"/>
    <w:rsid w:val="000E1916"/>
    <w:rsid w:val="000F2B49"/>
    <w:rsid w:val="000F5A7D"/>
    <w:rsid w:val="001018CC"/>
    <w:rsid w:val="00103112"/>
    <w:rsid w:val="00104285"/>
    <w:rsid w:val="001057A5"/>
    <w:rsid w:val="00115A9B"/>
    <w:rsid w:val="0013792D"/>
    <w:rsid w:val="00144CF5"/>
    <w:rsid w:val="00147CD5"/>
    <w:rsid w:val="001605AD"/>
    <w:rsid w:val="00163788"/>
    <w:rsid w:val="001B628E"/>
    <w:rsid w:val="001C06BE"/>
    <w:rsid w:val="001D1493"/>
    <w:rsid w:val="001D5056"/>
    <w:rsid w:val="001D636E"/>
    <w:rsid w:val="001E1DC1"/>
    <w:rsid w:val="001E27D9"/>
    <w:rsid w:val="001F479F"/>
    <w:rsid w:val="001F57C0"/>
    <w:rsid w:val="00202E1A"/>
    <w:rsid w:val="00213993"/>
    <w:rsid w:val="00220DE5"/>
    <w:rsid w:val="00226E41"/>
    <w:rsid w:val="002501BB"/>
    <w:rsid w:val="00262DFA"/>
    <w:rsid w:val="002632AA"/>
    <w:rsid w:val="00263FDF"/>
    <w:rsid w:val="00293B59"/>
    <w:rsid w:val="002A0DF0"/>
    <w:rsid w:val="002A3B00"/>
    <w:rsid w:val="002A5B76"/>
    <w:rsid w:val="002A7287"/>
    <w:rsid w:val="002B091D"/>
    <w:rsid w:val="002B44A9"/>
    <w:rsid w:val="002B6D7E"/>
    <w:rsid w:val="002C4C3E"/>
    <w:rsid w:val="002E4592"/>
    <w:rsid w:val="002E70DD"/>
    <w:rsid w:val="002F5585"/>
    <w:rsid w:val="002F7472"/>
    <w:rsid w:val="00307EC6"/>
    <w:rsid w:val="003102EA"/>
    <w:rsid w:val="003141D8"/>
    <w:rsid w:val="00336022"/>
    <w:rsid w:val="0034018A"/>
    <w:rsid w:val="003417CA"/>
    <w:rsid w:val="00341C6D"/>
    <w:rsid w:val="00343782"/>
    <w:rsid w:val="00347638"/>
    <w:rsid w:val="00355859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7463E"/>
    <w:rsid w:val="004822EF"/>
    <w:rsid w:val="00491F61"/>
    <w:rsid w:val="004B17A2"/>
    <w:rsid w:val="004B60A8"/>
    <w:rsid w:val="004E29FB"/>
    <w:rsid w:val="004E7AA0"/>
    <w:rsid w:val="00501AEE"/>
    <w:rsid w:val="0050538D"/>
    <w:rsid w:val="00506360"/>
    <w:rsid w:val="00536376"/>
    <w:rsid w:val="00537264"/>
    <w:rsid w:val="0055134A"/>
    <w:rsid w:val="00553881"/>
    <w:rsid w:val="00557995"/>
    <w:rsid w:val="0056406D"/>
    <w:rsid w:val="00564FCA"/>
    <w:rsid w:val="005700E2"/>
    <w:rsid w:val="00591F89"/>
    <w:rsid w:val="005A27C8"/>
    <w:rsid w:val="005A4062"/>
    <w:rsid w:val="005A4371"/>
    <w:rsid w:val="005B3326"/>
    <w:rsid w:val="005D0FB8"/>
    <w:rsid w:val="005E4308"/>
    <w:rsid w:val="00617A1F"/>
    <w:rsid w:val="0064212C"/>
    <w:rsid w:val="00645200"/>
    <w:rsid w:val="006528EA"/>
    <w:rsid w:val="00662AD3"/>
    <w:rsid w:val="0067459C"/>
    <w:rsid w:val="00687CD2"/>
    <w:rsid w:val="006B0932"/>
    <w:rsid w:val="006C45C5"/>
    <w:rsid w:val="006C474A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27933"/>
    <w:rsid w:val="00736740"/>
    <w:rsid w:val="007505C2"/>
    <w:rsid w:val="0077462E"/>
    <w:rsid w:val="00790F6A"/>
    <w:rsid w:val="007C3EBF"/>
    <w:rsid w:val="007C6F0F"/>
    <w:rsid w:val="007E4E43"/>
    <w:rsid w:val="007E68F7"/>
    <w:rsid w:val="00817CAA"/>
    <w:rsid w:val="00831372"/>
    <w:rsid w:val="00843161"/>
    <w:rsid w:val="00851587"/>
    <w:rsid w:val="00851C6F"/>
    <w:rsid w:val="008776FC"/>
    <w:rsid w:val="00877AE2"/>
    <w:rsid w:val="0088082C"/>
    <w:rsid w:val="008816C8"/>
    <w:rsid w:val="008829E1"/>
    <w:rsid w:val="00887E4B"/>
    <w:rsid w:val="008A32E7"/>
    <w:rsid w:val="008A6DC5"/>
    <w:rsid w:val="008B399C"/>
    <w:rsid w:val="008C7AEF"/>
    <w:rsid w:val="008D1570"/>
    <w:rsid w:val="008D48F2"/>
    <w:rsid w:val="008D4CDB"/>
    <w:rsid w:val="008E07DC"/>
    <w:rsid w:val="008F02BD"/>
    <w:rsid w:val="008F70D8"/>
    <w:rsid w:val="009363F5"/>
    <w:rsid w:val="00953EB9"/>
    <w:rsid w:val="009719D8"/>
    <w:rsid w:val="009B0E83"/>
    <w:rsid w:val="009B49B2"/>
    <w:rsid w:val="009C3277"/>
    <w:rsid w:val="009D617F"/>
    <w:rsid w:val="009E2B1D"/>
    <w:rsid w:val="009E6B71"/>
    <w:rsid w:val="009F2763"/>
    <w:rsid w:val="00A01C18"/>
    <w:rsid w:val="00A112F2"/>
    <w:rsid w:val="00A316AD"/>
    <w:rsid w:val="00A43275"/>
    <w:rsid w:val="00A65E88"/>
    <w:rsid w:val="00A662B3"/>
    <w:rsid w:val="00A901DE"/>
    <w:rsid w:val="00AA4391"/>
    <w:rsid w:val="00AD0BC9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E2D3B"/>
    <w:rsid w:val="00C03465"/>
    <w:rsid w:val="00C04F08"/>
    <w:rsid w:val="00C357C2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6616"/>
    <w:rsid w:val="00CD5C33"/>
    <w:rsid w:val="00CD6266"/>
    <w:rsid w:val="00CE4DA2"/>
    <w:rsid w:val="00CE7C90"/>
    <w:rsid w:val="00CF1C79"/>
    <w:rsid w:val="00D013A1"/>
    <w:rsid w:val="00D067E5"/>
    <w:rsid w:val="00D26EAD"/>
    <w:rsid w:val="00D44367"/>
    <w:rsid w:val="00D50BBA"/>
    <w:rsid w:val="00D568B8"/>
    <w:rsid w:val="00D63835"/>
    <w:rsid w:val="00D97FE1"/>
    <w:rsid w:val="00DB0A7E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169F1"/>
    <w:rsid w:val="00E330B3"/>
    <w:rsid w:val="00E3422C"/>
    <w:rsid w:val="00E36680"/>
    <w:rsid w:val="00E421D4"/>
    <w:rsid w:val="00E5527C"/>
    <w:rsid w:val="00E6288D"/>
    <w:rsid w:val="00E64781"/>
    <w:rsid w:val="00E73D3D"/>
    <w:rsid w:val="00E82361"/>
    <w:rsid w:val="00E876DC"/>
    <w:rsid w:val="00EA195D"/>
    <w:rsid w:val="00EB2503"/>
    <w:rsid w:val="00ED26FA"/>
    <w:rsid w:val="00ED641D"/>
    <w:rsid w:val="00ED7939"/>
    <w:rsid w:val="00ED79A3"/>
    <w:rsid w:val="00EE121F"/>
    <w:rsid w:val="00EE7344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B1494"/>
    <w:rsid w:val="00FB790B"/>
    <w:rsid w:val="00FC27C0"/>
    <w:rsid w:val="00FC2E1A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FC27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FC2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</w:divsChild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B32E-59AB-44F9-8DB4-AAA68240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1573</Words>
  <Characters>8652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</vt:lpstr>
      <vt:lpstr>    LA HABANA</vt:lpstr>
      <vt:lpstr>    04 DIAS – 03 NOCHES</vt:lpstr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2025-06-28T17:53:00Z</dcterms:created>
  <dcterms:modified xsi:type="dcterms:W3CDTF">2025-06-28T18:01:00Z</dcterms:modified>
</cp:coreProperties>
</file>